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B3" w:rsidRPr="00F20B2F" w:rsidRDefault="00F11AB3" w:rsidP="00F11AB3">
      <w:pPr>
        <w:pStyle w:val="NormalWeb"/>
        <w:spacing w:line="480" w:lineRule="auto"/>
      </w:pPr>
      <w:r>
        <w:rPr>
          <w:rFonts w:ascii="Verdana" w:hAnsi="Verdana"/>
          <w:b/>
          <w:bCs/>
          <w:sz w:val="27"/>
          <w:szCs w:val="27"/>
        </w:rPr>
        <w:t xml:space="preserve">Incidencia de Lepra en </w:t>
      </w:r>
      <w:r w:rsidR="00805633">
        <w:rPr>
          <w:rFonts w:ascii="Verdana" w:hAnsi="Verdana"/>
          <w:b/>
          <w:bCs/>
          <w:sz w:val="27"/>
          <w:szCs w:val="27"/>
        </w:rPr>
        <w:t xml:space="preserve">el </w:t>
      </w:r>
      <w:r>
        <w:rPr>
          <w:rFonts w:ascii="Verdana" w:hAnsi="Verdana"/>
          <w:b/>
          <w:bCs/>
          <w:sz w:val="27"/>
          <w:szCs w:val="27"/>
        </w:rPr>
        <w:t xml:space="preserve">municipio Santa Cruz del Sur, Cuba. </w:t>
      </w:r>
      <w:r w:rsidR="00121A5A">
        <w:rPr>
          <w:rFonts w:ascii="Verdana" w:hAnsi="Verdana"/>
          <w:b/>
          <w:bCs/>
          <w:sz w:val="27"/>
          <w:szCs w:val="27"/>
        </w:rPr>
        <w:t>15</w:t>
      </w:r>
      <w:r>
        <w:rPr>
          <w:rFonts w:ascii="Verdana" w:hAnsi="Verdana"/>
          <w:b/>
          <w:bCs/>
          <w:sz w:val="27"/>
          <w:szCs w:val="27"/>
        </w:rPr>
        <w:t xml:space="preserve"> </w:t>
      </w:r>
      <w:r w:rsidRPr="00F20B2F">
        <w:rPr>
          <w:rFonts w:ascii="Verdana" w:hAnsi="Verdana"/>
          <w:b/>
          <w:bCs/>
          <w:sz w:val="27"/>
          <w:szCs w:val="27"/>
        </w:rPr>
        <w:t>años de estudio.</w:t>
      </w:r>
      <w:r>
        <w:rPr>
          <w:rFonts w:ascii="Verdana" w:hAnsi="Verdana"/>
          <w:b/>
          <w:bCs/>
          <w:sz w:val="27"/>
          <w:szCs w:val="27"/>
        </w:rPr>
        <w:t xml:space="preserve"> </w:t>
      </w:r>
    </w:p>
    <w:p w:rsidR="00F11AB3" w:rsidRDefault="00F11AB3" w:rsidP="00F11AB3">
      <w:pPr>
        <w:pStyle w:val="NormalWeb"/>
        <w:spacing w:line="480" w:lineRule="auto"/>
      </w:pPr>
      <w:r w:rsidRPr="00F20B2F">
        <w:t> </w:t>
      </w:r>
      <w:r w:rsidRPr="00074331">
        <w:rPr>
          <w:rFonts w:ascii="Verdana" w:hAnsi="Verdana"/>
          <w:b/>
          <w:bCs/>
          <w:sz w:val="20"/>
          <w:szCs w:val="20"/>
        </w:rPr>
        <w:t xml:space="preserve">Dra. </w:t>
      </w:r>
      <w:proofErr w:type="spellStart"/>
      <w:r w:rsidRPr="00074331">
        <w:rPr>
          <w:rFonts w:ascii="Verdana" w:hAnsi="Verdana"/>
          <w:b/>
          <w:bCs/>
          <w:sz w:val="20"/>
          <w:szCs w:val="20"/>
        </w:rPr>
        <w:t>Idania</w:t>
      </w:r>
      <w:proofErr w:type="spellEnd"/>
      <w:r w:rsidRPr="00074331">
        <w:rPr>
          <w:rFonts w:ascii="Verdana" w:hAnsi="Verdana"/>
          <w:b/>
          <w:bCs/>
          <w:sz w:val="20"/>
          <w:szCs w:val="20"/>
        </w:rPr>
        <w:t xml:space="preserve"> Cristina Curra </w:t>
      </w:r>
      <w:proofErr w:type="spellStart"/>
      <w:r w:rsidRPr="00074331">
        <w:rPr>
          <w:rFonts w:ascii="Verdana" w:hAnsi="Verdana"/>
          <w:b/>
          <w:bCs/>
          <w:sz w:val="20"/>
          <w:szCs w:val="20"/>
        </w:rPr>
        <w:t>Buitrago</w:t>
      </w:r>
      <w:r w:rsidRPr="00074331">
        <w:rPr>
          <w:rFonts w:ascii="Verdana" w:hAnsi="Verdana"/>
          <w:b/>
          <w:bCs/>
          <w:sz w:val="20"/>
          <w:szCs w:val="20"/>
          <w:vertAlign w:val="superscript"/>
        </w:rPr>
        <w:t>I</w:t>
      </w:r>
      <w:proofErr w:type="spellEnd"/>
      <w:r w:rsidRPr="00074331">
        <w:rPr>
          <w:rFonts w:ascii="Verdana" w:hAnsi="Verdana"/>
          <w:b/>
          <w:bCs/>
          <w:sz w:val="20"/>
          <w:szCs w:val="20"/>
        </w:rPr>
        <w:t xml:space="preserve">; </w:t>
      </w:r>
      <w:proofErr w:type="spellStart"/>
      <w:r w:rsidRPr="00074331">
        <w:rPr>
          <w:rFonts w:ascii="Verdana" w:hAnsi="Verdana"/>
          <w:b/>
          <w:bCs/>
          <w:sz w:val="20"/>
          <w:szCs w:val="20"/>
        </w:rPr>
        <w:t>MSc</w:t>
      </w:r>
      <w:proofErr w:type="spellEnd"/>
      <w:r w:rsidRPr="00074331">
        <w:rPr>
          <w:rFonts w:ascii="Verdana" w:hAnsi="Verdana"/>
          <w:b/>
          <w:bCs/>
          <w:sz w:val="20"/>
          <w:szCs w:val="20"/>
        </w:rPr>
        <w:t xml:space="preserve">. Rosa María Espino </w:t>
      </w:r>
      <w:proofErr w:type="spellStart"/>
      <w:r w:rsidRPr="00074331">
        <w:rPr>
          <w:rFonts w:ascii="Verdana" w:hAnsi="Verdana"/>
          <w:b/>
          <w:bCs/>
          <w:sz w:val="20"/>
          <w:szCs w:val="20"/>
        </w:rPr>
        <w:t>Delgado</w:t>
      </w:r>
      <w:r w:rsidRPr="00074331">
        <w:rPr>
          <w:rFonts w:ascii="Verdana" w:hAnsi="Verdana"/>
          <w:b/>
          <w:bCs/>
          <w:sz w:val="20"/>
          <w:szCs w:val="20"/>
          <w:vertAlign w:val="superscript"/>
        </w:rPr>
        <w:t>II</w:t>
      </w:r>
      <w:proofErr w:type="spellEnd"/>
      <w:r w:rsidRPr="00074331">
        <w:rPr>
          <w:rFonts w:ascii="Verdana" w:hAnsi="Verdana"/>
          <w:b/>
          <w:bCs/>
          <w:sz w:val="20"/>
          <w:szCs w:val="20"/>
        </w:rPr>
        <w:t xml:space="preserve">; </w:t>
      </w:r>
      <w:proofErr w:type="spellStart"/>
      <w:r w:rsidRPr="00074331">
        <w:rPr>
          <w:rFonts w:ascii="Verdana" w:hAnsi="Verdana"/>
          <w:b/>
          <w:bCs/>
          <w:sz w:val="20"/>
          <w:szCs w:val="20"/>
        </w:rPr>
        <w:t>MSc</w:t>
      </w:r>
      <w:proofErr w:type="spellEnd"/>
      <w:r w:rsidRPr="00074331">
        <w:rPr>
          <w:rFonts w:ascii="Verdana" w:hAnsi="Verdana"/>
          <w:b/>
          <w:bCs/>
          <w:sz w:val="20"/>
          <w:szCs w:val="20"/>
        </w:rPr>
        <w:t xml:space="preserve">. </w:t>
      </w:r>
      <w:proofErr w:type="spellStart"/>
      <w:r w:rsidRPr="00121A5A">
        <w:rPr>
          <w:rFonts w:ascii="Verdana" w:hAnsi="Verdana"/>
          <w:b/>
          <w:bCs/>
          <w:sz w:val="20"/>
          <w:szCs w:val="20"/>
          <w:lang w:val="en-US"/>
        </w:rPr>
        <w:t>Inalvys</w:t>
      </w:r>
      <w:proofErr w:type="spellEnd"/>
      <w:r w:rsidRPr="00121A5A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121A5A">
        <w:rPr>
          <w:rFonts w:ascii="Verdana" w:hAnsi="Verdana"/>
          <w:b/>
          <w:bCs/>
          <w:sz w:val="20"/>
          <w:szCs w:val="20"/>
          <w:lang w:val="en-US"/>
        </w:rPr>
        <w:t>Olazábal</w:t>
      </w:r>
      <w:proofErr w:type="spellEnd"/>
      <w:r w:rsidRPr="00121A5A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 w:rsidRPr="00121A5A">
        <w:rPr>
          <w:rFonts w:ascii="Verdana" w:hAnsi="Verdana"/>
          <w:b/>
          <w:bCs/>
          <w:sz w:val="20"/>
          <w:szCs w:val="20"/>
          <w:lang w:val="en-US"/>
        </w:rPr>
        <w:t>Bárzaga</w:t>
      </w:r>
      <w:r w:rsidRPr="00121A5A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III</w:t>
      </w:r>
      <w:proofErr w:type="spellEnd"/>
      <w:r w:rsidRPr="00121A5A">
        <w:rPr>
          <w:rFonts w:ascii="Verdana" w:hAnsi="Verdana"/>
          <w:b/>
          <w:bCs/>
          <w:sz w:val="20"/>
          <w:szCs w:val="20"/>
          <w:lang w:val="en-US"/>
        </w:rPr>
        <w:t xml:space="preserve">; </w:t>
      </w:r>
      <w:proofErr w:type="spellStart"/>
      <w:r w:rsidRPr="00121A5A">
        <w:rPr>
          <w:rFonts w:ascii="Verdana" w:hAnsi="Verdana"/>
          <w:b/>
          <w:bCs/>
          <w:sz w:val="20"/>
          <w:szCs w:val="20"/>
          <w:lang w:val="en-US"/>
        </w:rPr>
        <w:t>Dra</w:t>
      </w:r>
      <w:proofErr w:type="spellEnd"/>
      <w:r w:rsidRPr="00121A5A">
        <w:rPr>
          <w:rFonts w:ascii="Verdana" w:hAnsi="Verdana"/>
          <w:b/>
          <w:bCs/>
          <w:sz w:val="20"/>
          <w:szCs w:val="20"/>
          <w:lang w:val="en-US"/>
        </w:rPr>
        <w:t xml:space="preserve">. </w:t>
      </w:r>
      <w:r>
        <w:rPr>
          <w:rFonts w:ascii="Verdana" w:hAnsi="Verdana"/>
          <w:b/>
          <w:bCs/>
          <w:sz w:val="20"/>
          <w:szCs w:val="20"/>
        </w:rPr>
        <w:t xml:space="preserve">María Irene Guerrero </w:t>
      </w:r>
      <w:proofErr w:type="spellStart"/>
      <w:r>
        <w:rPr>
          <w:rFonts w:ascii="Verdana" w:hAnsi="Verdana"/>
          <w:b/>
          <w:bCs/>
          <w:sz w:val="20"/>
          <w:szCs w:val="20"/>
        </w:rPr>
        <w:t>Fernández.</w:t>
      </w:r>
      <w:r>
        <w:rPr>
          <w:rFonts w:ascii="Verdana" w:hAnsi="Verdana"/>
          <w:b/>
          <w:bCs/>
          <w:sz w:val="20"/>
          <w:szCs w:val="20"/>
          <w:vertAlign w:val="superscript"/>
        </w:rPr>
        <w:t>IV</w:t>
      </w:r>
      <w:proofErr w:type="spellEnd"/>
    </w:p>
    <w:p w:rsidR="00F11AB3" w:rsidRDefault="00F11AB3" w:rsidP="00F11AB3">
      <w:pPr>
        <w:pStyle w:val="NormalWeb"/>
        <w:spacing w:line="480" w:lineRule="auto"/>
        <w:rPr>
          <w:rFonts w:ascii="Verdana" w:hAnsi="Verdana"/>
          <w:sz w:val="20"/>
          <w:szCs w:val="20"/>
        </w:rPr>
      </w:pPr>
      <w:r>
        <w:t> </w:t>
      </w:r>
      <w:r>
        <w:rPr>
          <w:rFonts w:ascii="Verdana" w:hAnsi="Verdana"/>
          <w:sz w:val="20"/>
          <w:szCs w:val="20"/>
        </w:rPr>
        <w:t>I</w:t>
      </w:r>
      <w:proofErr w:type="gramStart"/>
      <w:r>
        <w:rPr>
          <w:rFonts w:ascii="Verdana" w:hAnsi="Verdana"/>
          <w:sz w:val="20"/>
          <w:szCs w:val="20"/>
        </w:rPr>
        <w:t>,II,III</w:t>
      </w:r>
      <w:proofErr w:type="gramEnd"/>
      <w:r>
        <w:rPr>
          <w:rFonts w:ascii="Verdana" w:hAnsi="Verdana"/>
          <w:sz w:val="20"/>
          <w:szCs w:val="20"/>
        </w:rPr>
        <w:t xml:space="preserve"> Policlínico Ernesto Che Guevara. Santa Cruz del Sur, Camagüey, Cuba.</w:t>
      </w:r>
      <w:r w:rsidRPr="004C5C6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IV Policlínico de especialidades pediátricas. Camagüey, Cuba. </w:t>
      </w:r>
    </w:p>
    <w:p w:rsidR="00F11AB3" w:rsidRDefault="00F11AB3" w:rsidP="00074331">
      <w:pPr>
        <w:pStyle w:val="NormalWeb"/>
        <w:spacing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RESULTADOS </w:t>
      </w:r>
    </w:p>
    <w:p w:rsidR="00F11AB3" w:rsidRPr="003B10A5" w:rsidRDefault="00F11AB3" w:rsidP="0012455B">
      <w:pPr>
        <w:pStyle w:val="Prrafodelista"/>
        <w:pBdr>
          <w:left w:val="none" w:sz="0" w:space="13" w:color="000000"/>
        </w:pBdr>
        <w:spacing w:line="360" w:lineRule="auto"/>
        <w:ind w:left="-142"/>
        <w:rPr>
          <w:rFonts w:ascii="Verdana" w:hAnsi="Verdana" w:cs="Arial"/>
          <w:b/>
          <w:sz w:val="20"/>
          <w:szCs w:val="20"/>
          <w:lang w:eastAsia="es-ES"/>
        </w:rPr>
      </w:pPr>
      <w:r w:rsidRPr="003B10A5">
        <w:rPr>
          <w:rFonts w:ascii="Verdana" w:hAnsi="Verdana" w:cs="Arial"/>
          <w:sz w:val="20"/>
          <w:szCs w:val="20"/>
          <w:lang w:eastAsia="es-ES"/>
        </w:rPr>
        <w:t>Tabla 1.</w:t>
      </w:r>
      <w:r w:rsidRPr="003B10A5">
        <w:rPr>
          <w:rFonts w:ascii="Verdana" w:hAnsi="Verdana" w:cs="Arial"/>
          <w:b/>
          <w:sz w:val="20"/>
          <w:szCs w:val="20"/>
          <w:lang w:eastAsia="es-ES"/>
        </w:rPr>
        <w:t xml:space="preserve"> </w:t>
      </w:r>
      <w:r w:rsidRPr="003B10A5">
        <w:rPr>
          <w:rFonts w:ascii="Verdana" w:hAnsi="Verdana" w:cs="Arial"/>
          <w:bCs/>
          <w:sz w:val="20"/>
          <w:szCs w:val="20"/>
          <w:lang w:eastAsia="es-ES"/>
        </w:rPr>
        <w:t xml:space="preserve">Incidencia de Lepra en municipio Santa Cruz del Sur, Cuba. </w:t>
      </w:r>
      <w:r w:rsidR="00074331">
        <w:rPr>
          <w:rFonts w:ascii="Verdana" w:hAnsi="Verdana" w:cs="Arial"/>
          <w:bCs/>
          <w:sz w:val="20"/>
          <w:szCs w:val="20"/>
          <w:lang w:eastAsia="es-ES"/>
        </w:rPr>
        <w:t>15</w:t>
      </w:r>
      <w:r w:rsidRPr="003B10A5">
        <w:rPr>
          <w:rFonts w:ascii="Verdana" w:hAnsi="Verdana" w:cs="Arial"/>
          <w:bCs/>
          <w:sz w:val="20"/>
          <w:szCs w:val="20"/>
          <w:lang w:eastAsia="es-ES"/>
        </w:rPr>
        <w:t xml:space="preserve"> años de estudio.</w:t>
      </w:r>
      <w:r>
        <w:rPr>
          <w:rFonts w:ascii="Verdana" w:hAnsi="Verdana" w:cs="Arial"/>
          <w:bCs/>
          <w:sz w:val="20"/>
          <w:szCs w:val="20"/>
          <w:lang w:eastAsia="es-ES"/>
        </w:rPr>
        <w:t xml:space="preserve"> Comportamiento según número de casos y tasa x 100 000 habitantes.</w:t>
      </w:r>
    </w:p>
    <w:tbl>
      <w:tblPr>
        <w:tblW w:w="9252" w:type="dxa"/>
        <w:jc w:val="center"/>
        <w:tblInd w:w="-3614" w:type="dxa"/>
        <w:tblBorders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6364"/>
        <w:gridCol w:w="2888"/>
      </w:tblGrid>
      <w:tr w:rsidR="00F11AB3" w:rsidRPr="003B10A5" w:rsidTr="001173BF">
        <w:trPr>
          <w:trHeight w:val="307"/>
          <w:jc w:val="center"/>
        </w:trPr>
        <w:tc>
          <w:tcPr>
            <w:tcW w:w="63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Pr="003B10A5" w:rsidRDefault="00F11AB3" w:rsidP="00182B54">
            <w:pPr>
              <w:tabs>
                <w:tab w:val="left" w:pos="5880"/>
                <w:tab w:val="right" w:pos="6148"/>
              </w:tabs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>Años</w:t>
            </w:r>
            <w:r w:rsidRPr="003B10A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     </w:t>
            </w:r>
            <w:r w:rsidR="00182B54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</w:t>
            </w:r>
            <w:r w:rsidRPr="003B10A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Número de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>casos</w:t>
            </w:r>
            <w:r w:rsidR="00182B54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ab/>
            </w:r>
          </w:p>
        </w:tc>
        <w:tc>
          <w:tcPr>
            <w:tcW w:w="288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Pr="003B10A5" w:rsidRDefault="00F11AB3" w:rsidP="00074331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Tasa</w:t>
            </w:r>
            <w:r w:rsidR="00182B54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x 100 000</w:t>
            </w:r>
            <w:r w:rsidR="00182B54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hab.</w:t>
            </w:r>
          </w:p>
        </w:tc>
      </w:tr>
      <w:tr w:rsidR="00F11AB3" w:rsidRPr="003B10A5" w:rsidTr="00182B54">
        <w:trPr>
          <w:trHeight w:val="1240"/>
          <w:jc w:val="center"/>
        </w:trPr>
        <w:tc>
          <w:tcPr>
            <w:tcW w:w="6364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F11AB3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2006-2010</w:t>
            </w: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8</w:t>
            </w:r>
          </w:p>
          <w:p w:rsidR="00F11AB3" w:rsidRPr="007E2C3B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</w:pPr>
            <w:r w:rsidRPr="007E2C3B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>2011-2015                                        13</w:t>
            </w:r>
          </w:p>
          <w:p w:rsidR="00F11AB3" w:rsidRPr="003B10A5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2016-2020</w:t>
            </w: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6</w:t>
            </w:r>
            <w:r w:rsidR="00182B54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                        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182B54" w:rsidRDefault="00F11AB3" w:rsidP="001173BF">
            <w:pPr>
              <w:tabs>
                <w:tab w:val="right" w:pos="2672"/>
              </w:tabs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</w:t>
            </w:r>
            <w:r w:rsidR="00182B54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0.2</w:t>
            </w: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</w:p>
          <w:p w:rsidR="00F11AB3" w:rsidRDefault="00182B54" w:rsidP="00182B54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0.3</w:t>
            </w:r>
          </w:p>
          <w:p w:rsidR="00182B54" w:rsidRPr="00182B54" w:rsidRDefault="00182B54" w:rsidP="00182B54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0.1</w:t>
            </w:r>
          </w:p>
        </w:tc>
      </w:tr>
      <w:tr w:rsidR="00F11AB3" w:rsidRPr="003B10A5" w:rsidTr="001173BF">
        <w:trPr>
          <w:trHeight w:val="315"/>
          <w:jc w:val="center"/>
        </w:trPr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074331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Total                                                 </w:t>
            </w:r>
            <w:r w:rsid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074331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</w:t>
            </w:r>
            <w:r w:rsid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0.2</w:t>
            </w:r>
          </w:p>
        </w:tc>
      </w:tr>
    </w:tbl>
    <w:p w:rsidR="00F11AB3" w:rsidRDefault="00F11AB3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  <w:r w:rsidRPr="003B10A5">
        <w:rPr>
          <w:rFonts w:ascii="Verdana" w:eastAsia="Times New Roman" w:hAnsi="Verdana" w:cs="Arial"/>
          <w:sz w:val="20"/>
          <w:szCs w:val="20"/>
          <w:lang w:eastAsia="es-ES"/>
        </w:rPr>
        <w:t xml:space="preserve">Fuente: </w:t>
      </w:r>
      <w:r>
        <w:rPr>
          <w:rFonts w:ascii="Verdana" w:eastAsia="Times New Roman" w:hAnsi="Verdana" w:cs="Arial"/>
          <w:sz w:val="20"/>
          <w:szCs w:val="20"/>
          <w:lang w:eastAsia="es-ES"/>
        </w:rPr>
        <w:t>Informes anuales</w:t>
      </w:r>
      <w:r w:rsidRPr="003B10A5">
        <w:rPr>
          <w:rFonts w:ascii="Verdana" w:eastAsia="Times New Roman" w:hAnsi="Verdana" w:cs="Arial"/>
          <w:sz w:val="20"/>
          <w:szCs w:val="20"/>
          <w:lang w:eastAsia="es-ES"/>
        </w:rPr>
        <w:t>.</w:t>
      </w:r>
      <w:r>
        <w:rPr>
          <w:rFonts w:ascii="Verdana" w:eastAsia="Times New Roman" w:hAnsi="Verdana" w:cs="Arial"/>
          <w:sz w:val="20"/>
          <w:szCs w:val="20"/>
          <w:lang w:eastAsia="es-ES"/>
        </w:rPr>
        <w:tab/>
      </w:r>
    </w:p>
    <w:p w:rsidR="00182B54" w:rsidRDefault="00182B54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F11AB3" w:rsidRPr="003B10A5" w:rsidRDefault="00182B54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 </w:t>
      </w:r>
      <w:r w:rsidR="00F11AB3">
        <w:rPr>
          <w:rFonts w:ascii="Verdana" w:eastAsia="Times New Roman" w:hAnsi="Verdana" w:cs="Arial"/>
          <w:sz w:val="20"/>
          <w:szCs w:val="20"/>
          <w:lang w:eastAsia="es-ES"/>
        </w:rPr>
        <w:t xml:space="preserve">Figura 1. Distribución por sexo            </w:t>
      </w:r>
      <w:r w:rsidR="00074331" w:rsidRPr="001172EF">
        <w:rPr>
          <w:rFonts w:ascii="Verdana" w:hAnsi="Verdana" w:cs="Arial"/>
          <w:sz w:val="20"/>
          <w:szCs w:val="20"/>
          <w:lang w:eastAsia="es-ES"/>
        </w:rPr>
        <w:t xml:space="preserve">Figura </w:t>
      </w:r>
      <w:r w:rsidR="00074331">
        <w:rPr>
          <w:rFonts w:ascii="Verdana" w:hAnsi="Verdana" w:cs="Arial"/>
          <w:sz w:val="20"/>
          <w:szCs w:val="20"/>
          <w:lang w:eastAsia="es-ES"/>
        </w:rPr>
        <w:t>2</w:t>
      </w:r>
      <w:r w:rsidR="00074331" w:rsidRPr="001172EF">
        <w:rPr>
          <w:rFonts w:ascii="Verdana" w:hAnsi="Verdana" w:cs="Arial"/>
          <w:sz w:val="20"/>
          <w:szCs w:val="20"/>
          <w:lang w:eastAsia="es-ES"/>
        </w:rPr>
        <w:t xml:space="preserve">. Distribución por </w:t>
      </w:r>
      <w:r w:rsidR="00074331">
        <w:rPr>
          <w:rFonts w:ascii="Verdana" w:hAnsi="Verdana" w:cs="Arial"/>
          <w:sz w:val="20"/>
          <w:szCs w:val="20"/>
          <w:lang w:eastAsia="es-ES"/>
        </w:rPr>
        <w:t xml:space="preserve">grupos de edades  </w:t>
      </w:r>
      <w:r w:rsidR="00F11AB3">
        <w:rPr>
          <w:rFonts w:ascii="Verdana" w:eastAsia="Times New Roman" w:hAnsi="Verdana" w:cs="Arial"/>
          <w:sz w:val="20"/>
          <w:szCs w:val="20"/>
          <w:lang w:eastAsia="es-ES"/>
        </w:rPr>
        <w:t xml:space="preserve">    </w:t>
      </w:r>
    </w:p>
    <w:p w:rsidR="00F11AB3" w:rsidRDefault="00F11AB3" w:rsidP="00F11AB3">
      <w:pPr>
        <w:pStyle w:val="NormalWeb"/>
        <w:spacing w:line="48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D3B1964" wp14:editId="7F49D6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2085975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  <w:noProof/>
          <w:lang w:eastAsia="es-ES"/>
        </w:rPr>
        <w:drawing>
          <wp:inline distT="0" distB="0" distL="0" distR="0" wp14:anchorId="4EC1C578" wp14:editId="7AC16E5F">
            <wp:extent cx="2847975" cy="2190750"/>
            <wp:effectExtent l="0" t="0" r="9525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4331" w:rsidRDefault="00074331" w:rsidP="00074331">
      <w:pPr>
        <w:pStyle w:val="NormalWeb"/>
        <w:spacing w:line="480" w:lineRule="auto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lastRenderedPageBreak/>
        <w:t xml:space="preserve">Fuente: Historias clínicas. </w:t>
      </w:r>
    </w:p>
    <w:p w:rsidR="00F11AB3" w:rsidRPr="003B10A5" w:rsidRDefault="00F11AB3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Figura 3. Distribución por color de piel.               </w:t>
      </w:r>
    </w:p>
    <w:p w:rsidR="00F11AB3" w:rsidRDefault="00F11AB3" w:rsidP="00F11AB3">
      <w:pPr>
        <w:pStyle w:val="NormalWeb"/>
        <w:spacing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D676F5D" wp14:editId="7427FEC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7425" cy="2085975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Verdana" w:hAnsi="Verdana"/>
          <w:b/>
          <w:bCs/>
        </w:rPr>
        <w:t xml:space="preserve"> </w:t>
      </w:r>
      <w:r w:rsidRPr="001172EF">
        <w:rPr>
          <w:rFonts w:ascii="Verdana" w:hAnsi="Verdana" w:cs="Arial"/>
          <w:sz w:val="20"/>
          <w:szCs w:val="20"/>
          <w:lang w:eastAsia="es-ES"/>
        </w:rPr>
        <w:t xml:space="preserve">Figura </w:t>
      </w:r>
      <w:r>
        <w:rPr>
          <w:rFonts w:ascii="Verdana" w:hAnsi="Verdana" w:cs="Arial"/>
          <w:sz w:val="20"/>
          <w:szCs w:val="20"/>
          <w:lang w:eastAsia="es-ES"/>
        </w:rPr>
        <w:t>4</w:t>
      </w:r>
      <w:r w:rsidRPr="001172EF">
        <w:rPr>
          <w:rFonts w:ascii="Verdana" w:hAnsi="Verdana" w:cs="Arial"/>
          <w:sz w:val="20"/>
          <w:szCs w:val="20"/>
          <w:lang w:eastAsia="es-ES"/>
        </w:rPr>
        <w:t xml:space="preserve">. Distribución </w:t>
      </w:r>
      <w:r>
        <w:rPr>
          <w:rFonts w:ascii="Verdana" w:hAnsi="Verdana" w:cs="Arial"/>
          <w:sz w:val="20"/>
          <w:szCs w:val="20"/>
          <w:lang w:eastAsia="es-ES"/>
        </w:rPr>
        <w:t xml:space="preserve">según zona de residencia.  </w:t>
      </w:r>
    </w:p>
    <w:p w:rsidR="00F11AB3" w:rsidRDefault="00F11AB3" w:rsidP="00F11AB3">
      <w:pPr>
        <w:pStyle w:val="NormalWeb"/>
        <w:spacing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eastAsia="es-ES"/>
        </w:rPr>
        <w:drawing>
          <wp:inline distT="0" distB="0" distL="0" distR="0" wp14:anchorId="305C8604" wp14:editId="688E1A06">
            <wp:extent cx="3190875" cy="2238375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1AB3" w:rsidRDefault="00F11AB3" w:rsidP="00F11AB3">
      <w:pPr>
        <w:pStyle w:val="NormalWeb"/>
        <w:spacing w:line="480" w:lineRule="auto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 xml:space="preserve">Fuente: Historias clínicas. </w:t>
      </w:r>
    </w:p>
    <w:p w:rsidR="00F11AB3" w:rsidRDefault="00F11AB3" w:rsidP="00F11AB3">
      <w:pPr>
        <w:pStyle w:val="Prrafodelista"/>
        <w:pBdr>
          <w:left w:val="none" w:sz="0" w:space="13" w:color="000000"/>
        </w:pBdr>
        <w:spacing w:line="360" w:lineRule="auto"/>
        <w:ind w:left="0"/>
        <w:rPr>
          <w:rFonts w:ascii="Verdana" w:hAnsi="Verdana" w:cs="Arial"/>
          <w:sz w:val="20"/>
          <w:szCs w:val="20"/>
          <w:lang w:eastAsia="es-ES"/>
        </w:rPr>
      </w:pPr>
    </w:p>
    <w:p w:rsidR="00F11AB3" w:rsidRPr="003B10A5" w:rsidRDefault="00F11AB3" w:rsidP="00F11AB3">
      <w:pPr>
        <w:pStyle w:val="Prrafodelista"/>
        <w:pBdr>
          <w:left w:val="none" w:sz="0" w:space="13" w:color="000000"/>
        </w:pBdr>
        <w:spacing w:line="360" w:lineRule="auto"/>
        <w:ind w:left="0"/>
        <w:rPr>
          <w:rFonts w:ascii="Verdana" w:hAnsi="Verdana" w:cs="Arial"/>
          <w:b/>
          <w:sz w:val="20"/>
          <w:szCs w:val="20"/>
          <w:lang w:eastAsia="es-ES"/>
        </w:rPr>
      </w:pPr>
      <w:r w:rsidRPr="003B10A5">
        <w:rPr>
          <w:rFonts w:ascii="Verdana" w:hAnsi="Verdana" w:cs="Arial"/>
          <w:sz w:val="20"/>
          <w:szCs w:val="20"/>
          <w:lang w:eastAsia="es-ES"/>
        </w:rPr>
        <w:t xml:space="preserve">Tabla </w:t>
      </w:r>
      <w:r>
        <w:rPr>
          <w:rFonts w:ascii="Verdana" w:hAnsi="Verdana" w:cs="Arial"/>
          <w:sz w:val="20"/>
          <w:szCs w:val="20"/>
          <w:lang w:eastAsia="es-ES"/>
        </w:rPr>
        <w:t>2</w:t>
      </w:r>
      <w:r w:rsidRPr="003B10A5">
        <w:rPr>
          <w:rFonts w:ascii="Verdana" w:hAnsi="Verdana" w:cs="Arial"/>
          <w:sz w:val="20"/>
          <w:szCs w:val="20"/>
          <w:lang w:eastAsia="es-ES"/>
        </w:rPr>
        <w:t>.</w:t>
      </w:r>
      <w:r w:rsidRPr="003B10A5">
        <w:rPr>
          <w:rFonts w:ascii="Verdana" w:hAnsi="Verdana" w:cs="Arial"/>
          <w:b/>
          <w:sz w:val="20"/>
          <w:szCs w:val="20"/>
          <w:lang w:eastAsia="es-ES"/>
        </w:rPr>
        <w:t xml:space="preserve"> </w:t>
      </w:r>
      <w:r w:rsidRPr="003B10A5">
        <w:rPr>
          <w:rFonts w:ascii="Verdana" w:hAnsi="Verdana" w:cs="Arial"/>
          <w:bCs/>
          <w:sz w:val="20"/>
          <w:szCs w:val="20"/>
          <w:lang w:eastAsia="es-ES"/>
        </w:rPr>
        <w:t xml:space="preserve">Incidencia de Lepra </w:t>
      </w:r>
      <w:r>
        <w:rPr>
          <w:rFonts w:ascii="Verdana" w:hAnsi="Verdana" w:cs="Arial"/>
          <w:bCs/>
          <w:sz w:val="20"/>
          <w:szCs w:val="20"/>
          <w:lang w:eastAsia="es-ES"/>
        </w:rPr>
        <w:t xml:space="preserve">según clasificación de Madrid y clasificación sanitaria. </w:t>
      </w:r>
    </w:p>
    <w:tbl>
      <w:tblPr>
        <w:tblW w:w="9269" w:type="dxa"/>
        <w:jc w:val="center"/>
        <w:tblInd w:w="-3614" w:type="dxa"/>
        <w:tblBorders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6381"/>
        <w:gridCol w:w="2888"/>
      </w:tblGrid>
      <w:tr w:rsidR="00F11AB3" w:rsidRPr="003B10A5" w:rsidTr="0005496C">
        <w:trPr>
          <w:trHeight w:val="307"/>
          <w:jc w:val="center"/>
        </w:trPr>
        <w:tc>
          <w:tcPr>
            <w:tcW w:w="63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Pr="003B10A5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Formas clínicas</w:t>
            </w:r>
            <w:r w:rsidRPr="003B10A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 </w:t>
            </w:r>
            <w:r w:rsidRPr="003B10A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Número de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>casos</w:t>
            </w:r>
          </w:p>
        </w:tc>
        <w:tc>
          <w:tcPr>
            <w:tcW w:w="288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Pr="003B10A5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%         </w:t>
            </w:r>
          </w:p>
        </w:tc>
      </w:tr>
      <w:tr w:rsidR="00F11AB3" w:rsidRPr="003B10A5" w:rsidTr="0005496C">
        <w:trPr>
          <w:trHeight w:val="2080"/>
          <w:jc w:val="center"/>
        </w:trPr>
        <w:tc>
          <w:tcPr>
            <w:tcW w:w="9269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</w:tcPr>
          <w:p w:rsidR="00F11AB3" w:rsidRPr="00647BF0" w:rsidRDefault="00F11AB3" w:rsidP="001173BF">
            <w:pPr>
              <w:tabs>
                <w:tab w:val="center" w:pos="4518"/>
              </w:tabs>
              <w:spacing w:before="40"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proofErr w:type="spellStart"/>
            <w:r w:rsidRPr="00647BF0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Multibacilares</w:t>
            </w:r>
            <w:proofErr w:type="spellEnd"/>
            <w:r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 xml:space="preserve">                               </w:t>
            </w:r>
          </w:p>
          <w:p w:rsidR="00F11AB3" w:rsidRPr="00516979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Lepra </w:t>
            </w:r>
            <w:proofErr w:type="spellStart"/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Lepromatosa</w:t>
            </w:r>
            <w:proofErr w:type="spellEnd"/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10                                   37.3</w:t>
            </w: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</w:t>
            </w:r>
          </w:p>
          <w:p w:rsidR="00F11AB3" w:rsidRPr="00775ED8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</w:pPr>
            <w:r w:rsidRPr="00775ED8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 xml:space="preserve">Lepra Dimorfa                              </w:t>
            </w:r>
            <w:r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>12</w:t>
            </w:r>
            <w:r w:rsidRPr="00775ED8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>44.4</w:t>
            </w:r>
            <w:r w:rsidRPr="00775ED8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  <w:t xml:space="preserve">                </w:t>
            </w:r>
          </w:p>
          <w:p w:rsidR="00F11AB3" w:rsidRPr="00516979" w:rsidRDefault="00F11AB3" w:rsidP="001173BF">
            <w:pPr>
              <w:tabs>
                <w:tab w:val="center" w:pos="4518"/>
              </w:tabs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Lepra Indeterminada (+)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-                                      -       </w:t>
            </w:r>
          </w:p>
          <w:p w:rsidR="00F11AB3" w:rsidRPr="00775ED8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es-ES"/>
              </w:rPr>
            </w:pPr>
            <w:r w:rsidRP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Subtotal                                      </w:t>
            </w:r>
            <w:r w:rsidR="0005496C" w:rsidRP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22    </w:t>
            </w:r>
            <w:r w:rsidRP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  <w:t xml:space="preserve">                             81.7</w:t>
            </w:r>
          </w:p>
        </w:tc>
      </w:tr>
      <w:tr w:rsidR="00F11AB3" w:rsidRPr="003B10A5" w:rsidTr="00182B54">
        <w:trPr>
          <w:trHeight w:val="1751"/>
          <w:jc w:val="center"/>
        </w:trPr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proofErr w:type="spellStart"/>
            <w:r w:rsidRPr="00516979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Paucibacilares</w:t>
            </w:r>
            <w:proofErr w:type="spellEnd"/>
          </w:p>
          <w:p w:rsidR="00F11AB3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Lepra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Tuberculoide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2   </w:t>
            </w:r>
          </w:p>
          <w:p w:rsidR="00F11AB3" w:rsidRDefault="00F11AB3" w:rsidP="001173BF">
            <w:pPr>
              <w:tabs>
                <w:tab w:val="right" w:pos="6148"/>
              </w:tabs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Lepra Indeterminada (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-</w:t>
            </w: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)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3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</w:p>
          <w:p w:rsidR="00F11AB3" w:rsidRPr="00516979" w:rsidRDefault="00F11AB3" w:rsidP="00182B54">
            <w:pPr>
              <w:tabs>
                <w:tab w:val="left" w:pos="7071"/>
                <w:tab w:val="left" w:pos="7407"/>
                <w:tab w:val="left" w:pos="8063"/>
              </w:tabs>
              <w:spacing w:before="40" w:after="0" w:line="360" w:lineRule="auto"/>
              <w:ind w:right="-1632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Subtotal                     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5                </w:t>
            </w:r>
            <w:r w:rsidR="0005496C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</w:t>
            </w:r>
            <w:r w:rsidR="00182B54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                              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Default="00F11AB3" w:rsidP="001173BF">
            <w:pPr>
              <w:spacing w:before="40" w:after="0" w:line="36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</w:p>
          <w:p w:rsidR="00F11AB3" w:rsidRDefault="00F11AB3" w:rsidP="0005496C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7.4</w:t>
            </w:r>
          </w:p>
          <w:p w:rsidR="00F11AB3" w:rsidRDefault="00F11AB3" w:rsidP="001173BF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11.1</w:t>
            </w:r>
          </w:p>
          <w:p w:rsidR="00182B54" w:rsidRPr="00775ED8" w:rsidRDefault="00182B54" w:rsidP="001173BF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18.5</w:t>
            </w:r>
          </w:p>
        </w:tc>
      </w:tr>
      <w:tr w:rsidR="00F11AB3" w:rsidRPr="003B10A5" w:rsidTr="0005496C">
        <w:trPr>
          <w:trHeight w:val="315"/>
          <w:jc w:val="center"/>
        </w:trPr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1173BF">
            <w:pPr>
              <w:tabs>
                <w:tab w:val="left" w:pos="6362"/>
              </w:tabs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Total                                        </w:t>
            </w:r>
            <w:r w:rsidR="00074331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27</w:t>
            </w: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ab/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Pr="00516979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100</w:t>
            </w:r>
          </w:p>
        </w:tc>
      </w:tr>
    </w:tbl>
    <w:p w:rsidR="00F11AB3" w:rsidRPr="00BB079A" w:rsidRDefault="00F11AB3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  <w:r w:rsidRPr="003B10A5">
        <w:rPr>
          <w:rFonts w:ascii="Verdana" w:eastAsia="Times New Roman" w:hAnsi="Verdana" w:cs="Arial"/>
          <w:sz w:val="20"/>
          <w:szCs w:val="20"/>
          <w:lang w:eastAsia="es-ES"/>
        </w:rPr>
        <w:t xml:space="preserve">Fuente: </w:t>
      </w:r>
      <w:r>
        <w:rPr>
          <w:rFonts w:ascii="Verdana" w:hAnsi="Verdana" w:cs="Arial"/>
          <w:sz w:val="20"/>
          <w:szCs w:val="20"/>
          <w:lang w:eastAsia="es-ES"/>
        </w:rPr>
        <w:t>Historias clínicas.</w:t>
      </w: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 Leyenda: (+) </w:t>
      </w:r>
      <w:proofErr w:type="spellStart"/>
      <w:r>
        <w:rPr>
          <w:rFonts w:ascii="Verdana" w:eastAsia="Times New Roman" w:hAnsi="Verdana" w:cs="Arial"/>
          <w:sz w:val="20"/>
          <w:szCs w:val="20"/>
          <w:lang w:eastAsia="es-ES"/>
        </w:rPr>
        <w:t>Baciloscopia</w:t>
      </w:r>
      <w:proofErr w:type="spellEnd"/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 positiva  </w:t>
      </w:r>
      <w:r w:rsidRPr="00BB079A">
        <w:rPr>
          <w:rFonts w:ascii="Verdana" w:eastAsia="Times New Roman" w:hAnsi="Verdana" w:cs="Arial"/>
          <w:sz w:val="20"/>
          <w:szCs w:val="20"/>
          <w:lang w:eastAsia="es-ES"/>
        </w:rPr>
        <w:t>(</w:t>
      </w:r>
      <w:r>
        <w:rPr>
          <w:rFonts w:ascii="Verdana" w:eastAsia="Times New Roman" w:hAnsi="Verdana" w:cs="Arial"/>
          <w:sz w:val="20"/>
          <w:szCs w:val="20"/>
          <w:lang w:eastAsia="es-ES"/>
        </w:rPr>
        <w:t>-</w:t>
      </w:r>
      <w:r w:rsidRPr="00BB079A">
        <w:rPr>
          <w:rFonts w:ascii="Verdana" w:eastAsia="Times New Roman" w:hAnsi="Verdana" w:cs="Arial"/>
          <w:sz w:val="20"/>
          <w:szCs w:val="20"/>
          <w:lang w:eastAsia="es-ES"/>
        </w:rPr>
        <w:t>)</w:t>
      </w:r>
      <w:r>
        <w:rPr>
          <w:rFonts w:ascii="Verdana" w:eastAsia="Times New Roman" w:hAnsi="Verdana" w:cs="Arial"/>
          <w:sz w:val="20"/>
          <w:szCs w:val="20"/>
          <w:lang w:eastAsia="es-ES"/>
        </w:rPr>
        <w:t xml:space="preserve"> </w:t>
      </w:r>
      <w:proofErr w:type="spellStart"/>
      <w:r w:rsidRPr="00BB079A">
        <w:rPr>
          <w:rFonts w:ascii="Verdana" w:eastAsia="Times New Roman" w:hAnsi="Verdana" w:cs="Arial"/>
          <w:sz w:val="20"/>
          <w:szCs w:val="20"/>
          <w:lang w:eastAsia="es-ES"/>
        </w:rPr>
        <w:t>Baciloscopia</w:t>
      </w:r>
      <w:proofErr w:type="spellEnd"/>
      <w:r w:rsidRPr="00BB079A">
        <w:rPr>
          <w:rFonts w:ascii="Verdana" w:eastAsia="Times New Roman" w:hAnsi="Verdana" w:cs="Arial"/>
          <w:sz w:val="20"/>
          <w:szCs w:val="20"/>
          <w:lang w:eastAsia="es-ES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es-ES"/>
        </w:rPr>
        <w:t>negativa.</w:t>
      </w:r>
    </w:p>
    <w:p w:rsidR="00F11AB3" w:rsidRDefault="00F11AB3" w:rsidP="00F11AB3">
      <w:pPr>
        <w:pStyle w:val="NormalWeb"/>
        <w:spacing w:line="480" w:lineRule="auto"/>
        <w:rPr>
          <w:rFonts w:ascii="Verdana" w:hAnsi="Verdana"/>
          <w:bCs/>
          <w:sz w:val="20"/>
          <w:szCs w:val="20"/>
        </w:rPr>
      </w:pPr>
      <w:r w:rsidRPr="00BB079A">
        <w:rPr>
          <w:rFonts w:ascii="Verdana" w:hAnsi="Verdana"/>
          <w:bCs/>
          <w:sz w:val="20"/>
          <w:szCs w:val="20"/>
        </w:rPr>
        <w:lastRenderedPageBreak/>
        <w:t>Figura 4. Distribución según presencia de discapacidades.</w:t>
      </w:r>
    </w:p>
    <w:p w:rsidR="00F11AB3" w:rsidRDefault="00F11AB3" w:rsidP="00F11AB3">
      <w:pPr>
        <w:pStyle w:val="NormalWeb"/>
        <w:spacing w:line="48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eastAsia="es-ES"/>
        </w:rPr>
        <w:drawing>
          <wp:inline distT="0" distB="0" distL="0" distR="0" wp14:anchorId="33E08332" wp14:editId="4715ECE8">
            <wp:extent cx="4286250" cy="2409825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1AB3" w:rsidRDefault="00F11AB3" w:rsidP="00F11AB3">
      <w:pPr>
        <w:pStyle w:val="NormalWeb"/>
        <w:spacing w:line="480" w:lineRule="auto"/>
        <w:rPr>
          <w:rFonts w:ascii="Verdana" w:hAnsi="Verdana"/>
          <w:bCs/>
          <w:sz w:val="20"/>
          <w:szCs w:val="20"/>
        </w:rPr>
      </w:pPr>
      <w:r w:rsidRPr="003B10A5">
        <w:rPr>
          <w:rFonts w:ascii="Verdana" w:hAnsi="Verdana" w:cs="Arial"/>
          <w:sz w:val="20"/>
          <w:szCs w:val="20"/>
          <w:lang w:eastAsia="es-ES"/>
        </w:rPr>
        <w:t xml:space="preserve">Fuente: </w:t>
      </w:r>
      <w:r>
        <w:rPr>
          <w:rFonts w:ascii="Verdana" w:hAnsi="Verdana" w:cs="Arial"/>
          <w:sz w:val="20"/>
          <w:szCs w:val="20"/>
          <w:lang w:eastAsia="es-ES"/>
        </w:rPr>
        <w:t>Historias clínicas.</w:t>
      </w:r>
    </w:p>
    <w:p w:rsidR="00F11AB3" w:rsidRDefault="00F11AB3" w:rsidP="00F11AB3">
      <w:pPr>
        <w:pStyle w:val="Prrafodelista"/>
        <w:pBdr>
          <w:left w:val="none" w:sz="0" w:space="13" w:color="000000"/>
        </w:pBdr>
        <w:spacing w:line="360" w:lineRule="auto"/>
        <w:ind w:left="0"/>
        <w:rPr>
          <w:rFonts w:ascii="Verdana" w:eastAsia="Times New Roman" w:hAnsi="Verdana"/>
          <w:bCs/>
          <w:sz w:val="20"/>
          <w:szCs w:val="20"/>
        </w:rPr>
      </w:pPr>
    </w:p>
    <w:p w:rsidR="00F11AB3" w:rsidRPr="0087743C" w:rsidRDefault="00F11AB3" w:rsidP="00F11AB3">
      <w:pPr>
        <w:pStyle w:val="Prrafodelista"/>
        <w:pBdr>
          <w:left w:val="none" w:sz="0" w:space="13" w:color="000000"/>
        </w:pBdr>
        <w:spacing w:line="360" w:lineRule="auto"/>
        <w:ind w:left="0"/>
        <w:rPr>
          <w:rFonts w:ascii="Verdana" w:hAnsi="Verdana" w:cs="Arial"/>
          <w:b/>
          <w:sz w:val="20"/>
          <w:szCs w:val="20"/>
          <w:lang w:eastAsia="es-ES"/>
        </w:rPr>
      </w:pPr>
      <w:r w:rsidRPr="003B10A5">
        <w:rPr>
          <w:rFonts w:ascii="Verdana" w:hAnsi="Verdana" w:cs="Arial"/>
          <w:sz w:val="20"/>
          <w:szCs w:val="20"/>
          <w:lang w:eastAsia="es-ES"/>
        </w:rPr>
        <w:t xml:space="preserve">Tabla </w:t>
      </w:r>
      <w:r>
        <w:rPr>
          <w:rFonts w:ascii="Verdana" w:hAnsi="Verdana" w:cs="Arial"/>
          <w:sz w:val="20"/>
          <w:szCs w:val="20"/>
          <w:lang w:eastAsia="es-ES"/>
        </w:rPr>
        <w:t>3</w:t>
      </w:r>
      <w:r w:rsidRPr="003B10A5">
        <w:rPr>
          <w:rFonts w:ascii="Verdana" w:hAnsi="Verdana" w:cs="Arial"/>
          <w:sz w:val="20"/>
          <w:szCs w:val="20"/>
          <w:lang w:eastAsia="es-ES"/>
        </w:rPr>
        <w:t>.</w:t>
      </w:r>
      <w:r w:rsidRPr="003B10A5">
        <w:rPr>
          <w:rFonts w:ascii="Verdana" w:hAnsi="Verdana" w:cs="Arial"/>
          <w:b/>
          <w:sz w:val="20"/>
          <w:szCs w:val="20"/>
          <w:lang w:eastAsia="es-ES"/>
        </w:rPr>
        <w:t xml:space="preserve"> </w:t>
      </w:r>
      <w:r w:rsidRPr="00C71115">
        <w:rPr>
          <w:rFonts w:ascii="Verdana" w:hAnsi="Verdana" w:cs="Arial"/>
          <w:bCs/>
          <w:sz w:val="20"/>
          <w:szCs w:val="20"/>
          <w:lang w:eastAsia="es-ES"/>
        </w:rPr>
        <w:t xml:space="preserve">Distribución según </w:t>
      </w:r>
      <w:r w:rsidR="00074331">
        <w:rPr>
          <w:rFonts w:ascii="Verdana" w:hAnsi="Verdana" w:cs="Arial"/>
          <w:bCs/>
          <w:sz w:val="20"/>
          <w:szCs w:val="20"/>
          <w:lang w:eastAsia="es-ES"/>
        </w:rPr>
        <w:t>influencia</w:t>
      </w:r>
      <w:r>
        <w:rPr>
          <w:rFonts w:ascii="Verdana" w:hAnsi="Verdana" w:cs="Arial"/>
          <w:bCs/>
          <w:sz w:val="20"/>
          <w:szCs w:val="20"/>
          <w:lang w:eastAsia="es-ES"/>
        </w:rPr>
        <w:t xml:space="preserve"> psico</w:t>
      </w:r>
      <w:r w:rsidR="00295A80">
        <w:rPr>
          <w:rFonts w:ascii="Verdana" w:hAnsi="Verdana" w:cs="Arial"/>
          <w:bCs/>
          <w:sz w:val="20"/>
          <w:szCs w:val="20"/>
          <w:lang w:eastAsia="es-ES"/>
        </w:rPr>
        <w:t>social asociada a</w:t>
      </w:r>
      <w:r>
        <w:rPr>
          <w:rFonts w:ascii="Verdana" w:hAnsi="Verdana" w:cs="Arial"/>
          <w:bCs/>
          <w:sz w:val="20"/>
          <w:szCs w:val="20"/>
          <w:lang w:eastAsia="es-ES"/>
        </w:rPr>
        <w:t xml:space="preserve"> la evolución </w:t>
      </w:r>
      <w:r w:rsidR="008E3E9E">
        <w:rPr>
          <w:rFonts w:ascii="Verdana" w:hAnsi="Verdana" w:cs="Arial"/>
          <w:bCs/>
          <w:sz w:val="20"/>
          <w:szCs w:val="20"/>
          <w:lang w:eastAsia="es-ES"/>
        </w:rPr>
        <w:t xml:space="preserve">tórpida </w:t>
      </w:r>
      <w:r>
        <w:rPr>
          <w:rFonts w:ascii="Verdana" w:hAnsi="Verdana" w:cs="Arial"/>
          <w:bCs/>
          <w:sz w:val="20"/>
          <w:szCs w:val="20"/>
          <w:lang w:eastAsia="es-ES"/>
        </w:rPr>
        <w:t>de la enfermedad.</w:t>
      </w:r>
    </w:p>
    <w:tbl>
      <w:tblPr>
        <w:tblW w:w="9358" w:type="dxa"/>
        <w:jc w:val="center"/>
        <w:tblInd w:w="-3614" w:type="dxa"/>
        <w:tblBorders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6470"/>
        <w:gridCol w:w="2888"/>
      </w:tblGrid>
      <w:tr w:rsidR="00F11AB3" w:rsidRPr="003B10A5" w:rsidTr="005B35E2">
        <w:trPr>
          <w:trHeight w:val="307"/>
          <w:jc w:val="center"/>
        </w:trPr>
        <w:tc>
          <w:tcPr>
            <w:tcW w:w="647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Default="00E65222" w:rsidP="001173BF">
            <w:pPr>
              <w:spacing w:before="40" w:after="0" w:line="360" w:lineRule="auto"/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>Crisis familiares</w:t>
            </w:r>
            <w:r w:rsidR="00F11AB3" w:rsidRPr="003B10A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</w:t>
            </w:r>
            <w:r w:rsidR="00FD256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     </w:t>
            </w:r>
            <w:r w:rsidR="008E3E9E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</w:t>
            </w:r>
            <w:r w:rsidR="00FD256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</w:t>
            </w:r>
            <w:r w:rsidR="00F11AB3" w:rsidRPr="0087743C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Alteraciones psicológicas    </w:t>
            </w:r>
            <w:r w:rsidR="00F11AB3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    </w:t>
            </w:r>
          </w:p>
          <w:p w:rsidR="00F11AB3" w:rsidRPr="003B10A5" w:rsidRDefault="00F11AB3" w:rsidP="00E65222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FD2565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>paranormativas</w:t>
            </w:r>
            <w:proofErr w:type="spellEnd"/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                           </w:t>
            </w:r>
            <w:r w:rsidR="00E65222"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Verdana" w:eastAsia="Times New Roman" w:hAnsi="Verdana" w:cs="Arial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288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hideMark/>
          </w:tcPr>
          <w:p w:rsidR="00F11AB3" w:rsidRPr="003B10A5" w:rsidRDefault="00E65222" w:rsidP="00E65222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No.</w:t>
            </w:r>
            <w:r w:rsidR="00F11AB3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%                </w:t>
            </w:r>
          </w:p>
        </w:tc>
      </w:tr>
      <w:tr w:rsidR="00F11AB3" w:rsidRPr="003B10A5" w:rsidTr="005B35E2">
        <w:trPr>
          <w:trHeight w:val="1812"/>
          <w:jc w:val="center"/>
        </w:trPr>
        <w:tc>
          <w:tcPr>
            <w:tcW w:w="6470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F11AB3" w:rsidRDefault="00E65222" w:rsidP="001173BF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Desmembramiento                  Trastorno adaptativo</w:t>
            </w:r>
          </w:p>
          <w:p w:rsidR="00E65222" w:rsidRDefault="00E65222" w:rsidP="00754A77">
            <w:pPr>
              <w:tabs>
                <w:tab w:val="left" w:pos="6557"/>
              </w:tabs>
              <w:ind w:right="-498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Problemas de salud                 Estrés laboral</w:t>
            </w:r>
            <w:r w:rsidR="00FD256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y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psicológico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="005B35E2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</w:t>
            </w:r>
          </w:p>
          <w:p w:rsidR="00FD2565" w:rsidRDefault="00E65222" w:rsidP="005B35E2">
            <w:pPr>
              <w:ind w:right="-445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Desmoralización                     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Trauma psíquico,</w:t>
            </w:r>
            <w:r w:rsidR="00FD256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fobia</w:t>
            </w:r>
            <w:r w:rsidR="005755C6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s</w:t>
            </w:r>
            <w:r w:rsidR="00FD256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,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</w:t>
            </w:r>
            <w:r w:rsidR="005B35E2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</w:t>
            </w:r>
          </w:p>
          <w:p w:rsidR="00E65222" w:rsidRPr="00C909F7" w:rsidRDefault="00FD2565" w:rsidP="008E3E9E">
            <w:pP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                        </w:t>
            </w:r>
            <w:r w:rsidRPr="00FD256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trastorno adaptativo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mixto              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5B35E2" w:rsidRDefault="00FD2565" w:rsidP="005B35E2">
            <w:pPr>
              <w:ind w:left="229" w:hanging="229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3</w:t>
            </w:r>
            <w:r w:rsidR="005B35E2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37.5</w:t>
            </w:r>
          </w:p>
          <w:p w:rsidR="0066447D" w:rsidRDefault="0066447D" w:rsidP="0066447D">
            <w:pPr>
              <w:ind w:left="229" w:hanging="229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4</w:t>
            </w:r>
            <w:r w:rsidR="005B35E2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50 </w:t>
            </w:r>
          </w:p>
          <w:p w:rsidR="00F11AB3" w:rsidRPr="005B35E2" w:rsidRDefault="0066447D" w:rsidP="0066447D">
            <w:pPr>
              <w:ind w:left="229" w:hanging="229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1          </w:t>
            </w:r>
            <w:r w:rsidR="005B35E2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12.5</w:t>
            </w:r>
          </w:p>
        </w:tc>
      </w:tr>
      <w:tr w:rsidR="00F11AB3" w:rsidRPr="003B10A5" w:rsidTr="005B35E2">
        <w:trPr>
          <w:trHeight w:val="315"/>
          <w:jc w:val="center"/>
        </w:trPr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1173BF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Total                                                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                    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11AB3" w:rsidRPr="003B10A5" w:rsidRDefault="00F11AB3" w:rsidP="0066447D">
            <w:pPr>
              <w:spacing w:before="40"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</w:pPr>
            <w:r w:rsidRPr="003B10A5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="0066447D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 xml:space="preserve"> </w:t>
            </w:r>
            <w:r w:rsidR="008E3E9E">
              <w:rPr>
                <w:rFonts w:ascii="Verdana" w:eastAsia="Times New Roman" w:hAnsi="Verdana" w:cs="Arial"/>
                <w:sz w:val="20"/>
                <w:szCs w:val="20"/>
                <w:lang w:eastAsia="es-ES"/>
              </w:rPr>
              <w:t>8            29.6</w:t>
            </w:r>
          </w:p>
        </w:tc>
      </w:tr>
    </w:tbl>
    <w:p w:rsidR="00F11AB3" w:rsidRDefault="00F11AB3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  <w:r w:rsidRPr="003B10A5">
        <w:rPr>
          <w:rFonts w:ascii="Verdana" w:eastAsia="Times New Roman" w:hAnsi="Verdana" w:cs="Arial"/>
          <w:sz w:val="20"/>
          <w:szCs w:val="20"/>
          <w:lang w:eastAsia="es-ES"/>
        </w:rPr>
        <w:t xml:space="preserve">Fuente: </w:t>
      </w:r>
      <w:r w:rsidR="005755C6">
        <w:rPr>
          <w:rFonts w:ascii="Verdana" w:hAnsi="Verdana" w:cs="Arial"/>
          <w:sz w:val="20"/>
          <w:szCs w:val="20"/>
          <w:lang w:eastAsia="es-ES"/>
        </w:rPr>
        <w:t>Entrevista psicosocial</w:t>
      </w:r>
      <w:r>
        <w:rPr>
          <w:rFonts w:ascii="Verdana" w:hAnsi="Verdana" w:cs="Arial"/>
          <w:sz w:val="20"/>
          <w:szCs w:val="20"/>
          <w:lang w:eastAsia="es-ES"/>
        </w:rPr>
        <w:t>.</w:t>
      </w:r>
      <w:r>
        <w:rPr>
          <w:rFonts w:ascii="Verdana" w:eastAsia="Times New Roman" w:hAnsi="Verdana" w:cs="Arial"/>
          <w:sz w:val="20"/>
          <w:szCs w:val="20"/>
          <w:lang w:eastAsia="es-ES"/>
        </w:rPr>
        <w:tab/>
      </w:r>
    </w:p>
    <w:p w:rsidR="00F11AB3" w:rsidRDefault="00F11AB3" w:rsidP="00F11AB3">
      <w:pPr>
        <w:tabs>
          <w:tab w:val="right" w:pos="8784"/>
        </w:tabs>
        <w:spacing w:before="40" w:after="0" w:line="360" w:lineRule="auto"/>
        <w:rPr>
          <w:rFonts w:ascii="Verdana" w:eastAsia="Times New Roman" w:hAnsi="Verdana" w:cs="Arial"/>
          <w:sz w:val="20"/>
          <w:szCs w:val="20"/>
          <w:lang w:eastAsia="es-ES"/>
        </w:rPr>
      </w:pPr>
    </w:p>
    <w:p w:rsidR="00F11AB3" w:rsidRDefault="00F11AB3" w:rsidP="00F11AB3">
      <w:pPr>
        <w:pStyle w:val="NormalWeb"/>
        <w:spacing w:line="480" w:lineRule="auto"/>
      </w:pPr>
    </w:p>
    <w:p w:rsidR="00805633" w:rsidRDefault="00805633" w:rsidP="00F11AB3">
      <w:pPr>
        <w:pStyle w:val="NormalWeb"/>
        <w:spacing w:line="480" w:lineRule="auto"/>
      </w:pPr>
    </w:p>
    <w:p w:rsidR="00805633" w:rsidRDefault="00805633" w:rsidP="00F11AB3">
      <w:pPr>
        <w:pStyle w:val="NormalWeb"/>
        <w:spacing w:line="480" w:lineRule="auto"/>
      </w:pPr>
    </w:p>
    <w:p w:rsidR="00805633" w:rsidRDefault="00805633" w:rsidP="00F11AB3">
      <w:pPr>
        <w:pStyle w:val="NormalWeb"/>
        <w:spacing w:line="480" w:lineRule="auto"/>
      </w:pPr>
    </w:p>
    <w:p w:rsidR="00F11AB3" w:rsidRDefault="00F11AB3" w:rsidP="00F11AB3">
      <w:pPr>
        <w:spacing w:line="480" w:lineRule="auto"/>
      </w:pPr>
      <w:bookmarkStart w:id="0" w:name="_GoBack"/>
      <w:bookmarkEnd w:id="0"/>
    </w:p>
    <w:p w:rsidR="00F11AB3" w:rsidRDefault="00F11AB3" w:rsidP="00F11AB3">
      <w:pPr>
        <w:spacing w:line="480" w:lineRule="auto"/>
      </w:pPr>
    </w:p>
    <w:p w:rsidR="00F11AB3" w:rsidRDefault="00F11AB3" w:rsidP="00F11AB3">
      <w:pPr>
        <w:spacing w:line="480" w:lineRule="auto"/>
      </w:pPr>
    </w:p>
    <w:p w:rsidR="00F11AB3" w:rsidRDefault="00F11AB3" w:rsidP="00F11AB3">
      <w:pPr>
        <w:spacing w:line="480" w:lineRule="auto"/>
      </w:pPr>
    </w:p>
    <w:p w:rsidR="006D6F15" w:rsidRDefault="00074331"/>
    <w:sectPr w:rsidR="006D6F15" w:rsidSect="009E4468">
      <w:endnotePr>
        <w:numFmt w:val="decimal"/>
      </w:endnotePr>
      <w:pgSz w:w="11906" w:h="16838"/>
      <w:pgMar w:top="1418" w:right="170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DFB"/>
    <w:multiLevelType w:val="hybridMultilevel"/>
    <w:tmpl w:val="D5C6C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F5E"/>
    <w:multiLevelType w:val="hybridMultilevel"/>
    <w:tmpl w:val="53E62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B3"/>
    <w:rsid w:val="0005496C"/>
    <w:rsid w:val="00074331"/>
    <w:rsid w:val="00102B18"/>
    <w:rsid w:val="00121A5A"/>
    <w:rsid w:val="0012455B"/>
    <w:rsid w:val="00182B54"/>
    <w:rsid w:val="00295A80"/>
    <w:rsid w:val="002E0C33"/>
    <w:rsid w:val="004D2F51"/>
    <w:rsid w:val="0052767B"/>
    <w:rsid w:val="005755C6"/>
    <w:rsid w:val="005914A7"/>
    <w:rsid w:val="005B35E2"/>
    <w:rsid w:val="0066447D"/>
    <w:rsid w:val="00754A77"/>
    <w:rsid w:val="00805633"/>
    <w:rsid w:val="00817579"/>
    <w:rsid w:val="00833F47"/>
    <w:rsid w:val="00851616"/>
    <w:rsid w:val="00854F37"/>
    <w:rsid w:val="008C3D4A"/>
    <w:rsid w:val="008E3E9E"/>
    <w:rsid w:val="00991EE8"/>
    <w:rsid w:val="00A43AB8"/>
    <w:rsid w:val="00A45CE6"/>
    <w:rsid w:val="00B27CD9"/>
    <w:rsid w:val="00B7440A"/>
    <w:rsid w:val="00BA5300"/>
    <w:rsid w:val="00BE4C9A"/>
    <w:rsid w:val="00C13616"/>
    <w:rsid w:val="00D211CF"/>
    <w:rsid w:val="00D2337F"/>
    <w:rsid w:val="00D32AF6"/>
    <w:rsid w:val="00E65222"/>
    <w:rsid w:val="00F11AB3"/>
    <w:rsid w:val="00F4139C"/>
    <w:rsid w:val="00F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11AB3"/>
    <w:pPr>
      <w:ind w:left="720"/>
      <w:contextualSpacing/>
    </w:pPr>
  </w:style>
  <w:style w:type="character" w:styleId="Hipervnculo">
    <w:name w:val="Hyperlink"/>
    <w:basedOn w:val="Fuentedeprrafopredeter"/>
    <w:rsid w:val="00F11AB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AB3"/>
    <w:rPr>
      <w:rFonts w:ascii="Tahoma" w:eastAsia="Calibri" w:hAnsi="Tahoma" w:cs="Tahoma"/>
      <w:sz w:val="16"/>
      <w:szCs w:val="16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D233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B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11AB3"/>
    <w:pPr>
      <w:ind w:left="720"/>
      <w:contextualSpacing/>
    </w:pPr>
  </w:style>
  <w:style w:type="character" w:styleId="Hipervnculo">
    <w:name w:val="Hyperlink"/>
    <w:basedOn w:val="Fuentedeprrafopredeter"/>
    <w:rsid w:val="00F11AB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AB3"/>
    <w:rPr>
      <w:rFonts w:ascii="Tahoma" w:eastAsia="Calibri" w:hAnsi="Tahoma" w:cs="Tahoma"/>
      <w:sz w:val="16"/>
      <w:szCs w:val="16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D23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884669479606191E-2"/>
          <c:y val="0.25555579525162092"/>
          <c:w val="0.4889469196097323"/>
          <c:h val="0.65312000383513702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0"/>
              <c:layout>
                <c:manualLayout>
                  <c:x val="1.6877637130801686E-2"/>
                  <c:y val="7.914764079147640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5007032348804502E-2"/>
                  <c:y val="-0.103500761035007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 b="0">
                <a:latin typeface="Verdana" pitchFamily="34" charset="0"/>
                <a:ea typeface="Verdana" pitchFamily="34" charset="0"/>
                <a:cs typeface="Verdana" pitchFamily="34" charset="0"/>
              </a:rPr>
              <a:t>Casos</a:t>
            </a:r>
          </a:p>
        </c:rich>
      </c:tx>
      <c:layout>
        <c:manualLayout>
          <c:xMode val="edge"/>
          <c:yMode val="edge"/>
          <c:x val="3.105590062111801E-3"/>
          <c:y val="6.66245917733565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03636168285982"/>
          <c:y val="0.13830565296984934"/>
          <c:w val="0.85607864806372891"/>
          <c:h val="0.588799488299256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Menos de 15 años</c:v>
                </c:pt>
                <c:pt idx="1">
                  <c:v>15-29 años</c:v>
                </c:pt>
                <c:pt idx="2">
                  <c:v>30-44 años</c:v>
                </c:pt>
                <c:pt idx="3">
                  <c:v>45-59 años</c:v>
                </c:pt>
                <c:pt idx="4">
                  <c:v>Más de 60 años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999552"/>
        <c:axId val="51967104"/>
        <c:axId val="0"/>
      </c:bar3DChart>
      <c:catAx>
        <c:axId val="84999552"/>
        <c:scaling>
          <c:orientation val="minMax"/>
        </c:scaling>
        <c:delete val="0"/>
        <c:axPos val="b"/>
        <c:majorTickMark val="out"/>
        <c:minorTickMark val="none"/>
        <c:tickLblPos val="nextTo"/>
        <c:crossAx val="51967104"/>
        <c:crosses val="autoZero"/>
        <c:auto val="1"/>
        <c:lblAlgn val="ctr"/>
        <c:lblOffset val="100"/>
        <c:noMultiLvlLbl val="0"/>
      </c:catAx>
      <c:valAx>
        <c:axId val="51967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99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84669479606191E-2"/>
          <c:y val="0.25555579525162092"/>
          <c:w val="0.4889469196097323"/>
          <c:h val="0.65312000383513702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Blanco</c:v>
                </c:pt>
                <c:pt idx="1">
                  <c:v>Mestizo</c:v>
                </c:pt>
                <c:pt idx="2">
                  <c:v>Negro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20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separator>. </c:separator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. </c:separator>
            <c:showLeaderLines val="1"/>
          </c:dLbls>
          <c:cat>
            <c:strRef>
              <c:f>Hoja1!$A$2:$A$3</c:f>
              <c:strCache>
                <c:ptCount val="2"/>
                <c:pt idx="0">
                  <c:v>Urbana</c:v>
                </c:pt>
                <c:pt idx="1">
                  <c:v>Rural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17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rotY val="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29037037037037039"/>
                  <c:y val="2.635046113306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</c:dLbl>
            <c:dLbl>
              <c:idx val="1"/>
              <c:layout>
                <c:manualLayout>
                  <c:x val="8.8888888888888837E-2"/>
                  <c:y val="1.5810276679841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</c:dLbl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</c:dLbls>
          <c:cat>
            <c:strRef>
              <c:f>Hoja1!$A$2:$A$3</c:f>
              <c:strCache>
                <c:ptCount val="2"/>
                <c:pt idx="0">
                  <c:v>NO</c:v>
                </c:pt>
                <c:pt idx="1">
                  <c:v>SI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24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186816"/>
        <c:axId val="85192704"/>
        <c:axId val="0"/>
      </c:bar3DChart>
      <c:catAx>
        <c:axId val="85186816"/>
        <c:scaling>
          <c:orientation val="minMax"/>
        </c:scaling>
        <c:delete val="0"/>
        <c:axPos val="l"/>
        <c:majorTickMark val="out"/>
        <c:minorTickMark val="none"/>
        <c:tickLblPos val="nextTo"/>
        <c:crossAx val="85192704"/>
        <c:crosses val="autoZero"/>
        <c:auto val="1"/>
        <c:lblAlgn val="ctr"/>
        <c:lblOffset val="100"/>
        <c:noMultiLvlLbl val="0"/>
      </c:catAx>
      <c:valAx>
        <c:axId val="85192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518681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</a:majorFont>
    <a:minorFont>
      <a:latin typeface="Calibri"/>
      <a:ea typeface="Calibri"/>
      <a:cs typeface="Times New Roma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Administradores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2020-12-25T12:50:00Z</dcterms:created>
  <dcterms:modified xsi:type="dcterms:W3CDTF">2021-01-14T02:04:00Z</dcterms:modified>
</cp:coreProperties>
</file>